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3E" w:rsidRPr="00504878" w:rsidRDefault="0042223E" w:rsidP="0042223E">
      <w:pPr>
        <w:pStyle w:val="a4"/>
        <w:ind w:left="11328"/>
        <w:rPr>
          <w:rFonts w:ascii="Times New Roman" w:hAnsi="Times New Roman"/>
          <w:noProof/>
          <w:sz w:val="24"/>
          <w:szCs w:val="24"/>
          <w:lang w:val="ru-RU"/>
        </w:rPr>
      </w:pPr>
      <w:r w:rsidRPr="00504878">
        <w:rPr>
          <w:rFonts w:ascii="Times New Roman" w:hAnsi="Times New Roman"/>
          <w:noProof/>
          <w:sz w:val="24"/>
          <w:szCs w:val="24"/>
          <w:lang w:val="ru-RU"/>
        </w:rPr>
        <w:t xml:space="preserve">Додаток </w:t>
      </w:r>
      <w:r w:rsidR="00153FCC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504878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</w:p>
    <w:p w:rsidR="0042223E" w:rsidRPr="00504878" w:rsidRDefault="0042223E" w:rsidP="0042223E">
      <w:pPr>
        <w:pStyle w:val="a5"/>
        <w:spacing w:before="120" w:after="12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504878">
        <w:rPr>
          <w:rFonts w:ascii="Times New Roman" w:hAnsi="Times New Roman"/>
          <w:b w:val="0"/>
          <w:noProof/>
          <w:sz w:val="24"/>
          <w:szCs w:val="24"/>
          <w:lang w:val="ru-RU"/>
        </w:rPr>
        <w:t>Тематичний напрям ________________________________________________________________________________</w:t>
      </w:r>
    </w:p>
    <w:p w:rsidR="0042223E" w:rsidRPr="00397960" w:rsidRDefault="0042223E" w:rsidP="0042223E">
      <w:pPr>
        <w:pStyle w:val="a5"/>
        <w:spacing w:after="0"/>
        <w:rPr>
          <w:rFonts w:ascii="Times New Roman" w:hAnsi="Times New Roman"/>
          <w:b w:val="0"/>
          <w:noProof/>
          <w:sz w:val="24"/>
          <w:szCs w:val="24"/>
          <w:lang w:val="en-US"/>
        </w:rPr>
      </w:pPr>
      <w:r w:rsidRPr="00A90D27">
        <w:rPr>
          <w:rFonts w:ascii="Times New Roman" w:hAnsi="Times New Roman"/>
          <w:noProof/>
          <w:sz w:val="28"/>
          <w:szCs w:val="28"/>
          <w:lang w:val="ru-RU"/>
        </w:rPr>
        <w:t>ЕКСПЕРТНИЙ ВИСНОВОК</w:t>
      </w:r>
      <w:r w:rsidRPr="00A90D27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397960">
        <w:rPr>
          <w:rFonts w:ascii="Times New Roman" w:hAnsi="Times New Roman"/>
          <w:b w:val="0"/>
          <w:noProof/>
          <w:sz w:val="24"/>
          <w:szCs w:val="24"/>
          <w:lang w:val="en-US"/>
        </w:rPr>
        <w:t>за темою: __________________________________________________________________________________</w:t>
      </w:r>
    </w:p>
    <w:p w:rsidR="0042223E" w:rsidRPr="00397960" w:rsidRDefault="0042223E" w:rsidP="0042223E">
      <w:pPr>
        <w:contextualSpacing/>
        <w:rPr>
          <w:noProof/>
          <w:lang w:val="en-US" w:eastAsia="uk-UA"/>
        </w:rPr>
      </w:pPr>
      <w:r w:rsidRPr="00397960">
        <w:rPr>
          <w:noProof/>
          <w:color w:val="000000"/>
          <w:lang w:val="en-US" w:eastAsia="uk-UA"/>
        </w:rPr>
        <w:t> </w:t>
      </w:r>
    </w:p>
    <w:tbl>
      <w:tblPr>
        <w:tblW w:w="16302" w:type="dxa"/>
        <w:tblInd w:w="-7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814"/>
        <w:gridCol w:w="40"/>
        <w:gridCol w:w="2228"/>
        <w:gridCol w:w="1134"/>
        <w:gridCol w:w="1596"/>
        <w:gridCol w:w="1623"/>
        <w:gridCol w:w="1764"/>
        <w:gridCol w:w="1454"/>
        <w:gridCol w:w="170"/>
        <w:gridCol w:w="1757"/>
        <w:gridCol w:w="1275"/>
        <w:gridCol w:w="1276"/>
        <w:gridCol w:w="1039"/>
        <w:gridCol w:w="95"/>
      </w:tblGrid>
      <w:tr w:rsidR="0042223E" w:rsidRPr="00397960" w:rsidTr="00397960">
        <w:trPr>
          <w:trHeight w:val="20"/>
          <w:tblHeader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397960" w:rsidRDefault="0042223E" w:rsidP="00397960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Порядковий номер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Значення показника*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504878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Інтервал значень показника, що відповідає оцінці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504878" w:rsidRDefault="0042223E" w:rsidP="00B406A3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Оцінка за показником, балів (відповідно до граф 4-8)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Ваговий коефіцієнт показника, одиниць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504878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Зважена оцінка показників, балів (графа 9 </w:t>
            </w: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x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 графа 10)</w:t>
            </w:r>
          </w:p>
        </w:tc>
      </w:tr>
      <w:tr w:rsidR="0042223E" w:rsidRPr="00397960" w:rsidTr="00397960">
        <w:trPr>
          <w:trHeight w:val="20"/>
          <w:tblHeader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3E" w:rsidRPr="00504878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3E" w:rsidRPr="00504878" w:rsidRDefault="0042223E" w:rsidP="00B406A3">
            <w:pPr>
              <w:pStyle w:val="a3"/>
              <w:spacing w:before="0"/>
              <w:ind w:left="-57" w:firstLine="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3E" w:rsidRPr="00504878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1 бал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2 бали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3 бали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4 бали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5 балів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42223E" w:rsidRPr="00397960" w:rsidTr="00397960">
        <w:trPr>
          <w:trHeight w:val="20"/>
          <w:tblHeader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23E" w:rsidRPr="00397960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11</w:t>
            </w: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Спроможність авторського колективу до виконання наукової, науково-технічної роботи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1.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 xml:space="preserve">Чисельність висококваліфікованих наукових працівників (докторів наук і докторів філософії (кандидатів наук)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39796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відсотків загальної чисельності авторського колективу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менше 20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20-30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30-50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50-60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більше 60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0,05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2.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Кількість молодих вчених</w:t>
            </w:r>
          </w:p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39796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відсотків загальної чисельності авторського колективу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менше 10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10-20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20-30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30-40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більше 40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0,05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3.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Науковий доробок авторського колективу  за тематичним напрямом наукової, науково-технічної роботи</w:t>
            </w:r>
          </w:p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кількість</w:t>
            </w:r>
          </w:p>
          <w:p w:rsidR="0042223E" w:rsidRPr="00504878" w:rsidRDefault="0042223E" w:rsidP="00B406A3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публікацій за останні п’ять років у наукових фахових виданнях, що індексуються у </w:t>
            </w: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Web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of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Science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 та/або </w:t>
            </w: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Scopus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 на одного автора за рік</w:t>
            </w:r>
          </w:p>
          <w:p w:rsidR="0042223E" w:rsidRPr="00504878" w:rsidRDefault="0042223E" w:rsidP="00397960">
            <w:pPr>
              <w:pStyle w:val="a3"/>
              <w:spacing w:before="0"/>
              <w:ind w:lef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(статті в </w:t>
            </w: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I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 або </w:t>
            </w: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II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="00397960" w:rsidRPr="00504878">
              <w:rPr>
                <w:rFonts w:ascii="Times New Roman" w:hAnsi="Times New Roman"/>
                <w:noProof/>
                <w:sz w:val="20"/>
                <w:lang w:val="ru-RU"/>
              </w:rPr>
              <w:t>кварта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лі зараховуються з коефіцієнтом 2)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менше 0,5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від 0,5 до 1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від 1 до 2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від 3 до 4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4 і більше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0,1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4.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Охоронні документи на об’єкти права інтелектуальної власності, отримані учасником конкурсного відбору (для прикладних наукових досліджень)</w:t>
            </w:r>
          </w:p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кількість</w:t>
            </w:r>
          </w:p>
          <w:p w:rsidR="0042223E" w:rsidRPr="00504878" w:rsidRDefault="0042223E" w:rsidP="0039796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отриманих охороннихдокументів (для охоронних документів на 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об’єкти права інтелектуальної власності, отриманих за кордоном, застосовується коефіцієнт 3)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до 2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від 2 до 4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від 4 до 6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від 6 до 8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більше 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0,1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5. 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Наукові гранти, за якими працювали автори наукової, науково-технічної роботи, що фінансувалися за рахунок державного бюджету та/або закордонних організацій (для фундаментальних досліджень)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кількість наукових грантів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1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2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3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4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5 і більше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0,1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II.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Наукова якість наукової, науково-технічної роботи та реалістичність досягнення завдань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0,2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1.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4E0A82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Результат виконання наукової, науково-технічної роботи, на отримання якого вона спрямована (мета наукової, наук</w:t>
            </w:r>
            <w:r w:rsidR="004E0A82">
              <w:rPr>
                <w:rFonts w:ascii="Times New Roman" w:hAnsi="Times New Roman"/>
                <w:noProof/>
                <w:sz w:val="20"/>
                <w:lang w:val="ru-RU"/>
              </w:rPr>
              <w:t>ово-технічної роботи та завдання</w:t>
            </w:r>
            <w:bookmarkStart w:id="0" w:name="_GoBack"/>
            <w:bookmarkEnd w:id="0"/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формулювання результату виконання наукової, науково-технічної роботи нечітко визначено;</w:t>
            </w:r>
          </w:p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завдання не повною мірою відповідають заявленому результату наукової, науково-технічної роботи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результат виконання наукової, науково-технічної роботи є важко досяжним;</w:t>
            </w:r>
          </w:p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завдання сформульовано з незначним відхиленням від опису наукової, науково-технічної  роботи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результат виконання наукової, науково-технічної роботи не співвідноситься з її завданнями;</w:t>
            </w:r>
          </w:p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завдання є складними для вирішення з огляду на опис наукової, науково-технічної  роботи та її тривалість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результат наукової, науково-технічної роботи відповідає її завданням та опису;</w:t>
            </w:r>
          </w:p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завдання сформульовані відповідно до заявленого результату наукової, науково-технічної роботи та її опису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чітко визначено результат наукової,  науково-технічної роботи, що відповідає її завданням та опису і є досяжним;</w:t>
            </w:r>
          </w:p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 xml:space="preserve">завдання сформульовані відповідно до заявленого результату наукової, науково-технічної роботи, її опису та тривалості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0,07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 </w:t>
            </w: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2.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Вклад у розвиток передової науки (для фундаментальних наукових досліджень)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 xml:space="preserve">наявність нових наукових знань, які б вдосконалю-вали наукову базу та забезпечували стабільний розвиток </w:t>
            </w: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наукових досліджень в Україні, є сумнівною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нові наукові знання, які спрямовані на вдосконалення наукової бази та забезпечення стабільного розвитку наукових 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досліджень в Україні, носять дискусійно-гіпотетичний характер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новизна наукової, науково-технічної роботи обмежена інкрементальним вдосконаленням існуючих наукових знань за вузьким 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тематичним напрямом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наукова, науково-технічна  робота сприятиме вдосконаленню існуючих наукових знань/методів у рамках вузького 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тематичного напряму</w:t>
            </w:r>
          </w:p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наукова робота спрямована на отримання нових наукових знань, що важливі для галузі досліджень в цілому або обумовлюють якісний прорив у </w:t>
            </w: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>рамках вузького тематичного напряму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0,08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 </w:t>
            </w: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3.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Обґрунтування практичної цінності запланованих результатів наукової, науково-технічної роботи для економіки та суспільства (для прикладних наукових досліджень)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обґрунтування практичної цінності запланованих результатів наукової,  науково-технічної роботи не співвідноситься із заявленим кінцевим результатом наукової роботи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обґрунтовано лише очікувані переваги наукового результату, що буде досягнуто, над існуючими аналогами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заявлений очікуваний економічний ефект від впровадження результатів розроблення та соціальна спрямованість наукової, науково-технічної  роботи носить дискусійний характер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обґрунтування цінності очікуваних результатів для потреб розвитку країни та загально-людської спільноти є логічним, заявлений очікуваний економічний ефект від впровадження результатів розроблення та соціальна спрямованість наукової,  науково-технічної роботи є цілком досяжними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обґрунтування цінності очікуваних результатів для потреб розвитку країни та загально-людської спільноти є логічним, заявлений очікуваний економічний ефект від впровадження результатів розроблення та соціальна спрямованість наукової, науково-технічної роботи є виправданими, відсутні ризики під час виконання наукової роботи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0,08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 </w:t>
            </w: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Потенційні споживачі/ виробники/ бенефіціари наукового, науково-технічного результату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397960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визначено лише опосередкованих споживачів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визначено лише потенційних споживачів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визначено потенційних споживачів та перелік ймовірно заінтересованих виробників/ бенефіціарів наукового, науково-технічного результату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397960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визначено потенційних споживачів та виробників/ бенефіціарів наукового, науково-технічного результату, з якими попередньо узгоджувалося питання їх заінтересованості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визначено потенційних споживачів та виробників/ бенефіціарів наукового, науково-технічного результату, з якими були попередні домовленості про співпрацю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0,05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42223E" w:rsidRPr="00397960" w:rsidTr="00397960">
        <w:trPr>
          <w:trHeight w:val="20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VI.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Сума вагових коефіцієнтів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1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42223E" w:rsidRPr="00397960" w:rsidTr="00504878">
        <w:trPr>
          <w:trHeight w:val="704"/>
        </w:trPr>
        <w:tc>
          <w:tcPr>
            <w:tcW w:w="8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VII.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Експертна оцінка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балів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7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6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5316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Експерт вважає, що віднесення наукової, науково-технічної роботи до тематичного напряму (обрати):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vMerge/>
            <w:vAlign w:val="center"/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7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048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обґрунтовано добре</w:t>
            </w:r>
          </w:p>
        </w:tc>
        <w:tc>
          <w:tcPr>
            <w:tcW w:w="55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так/ні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vMerge/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обґрунтовано задовільно</w:t>
            </w:r>
          </w:p>
        </w:tc>
        <w:tc>
          <w:tcPr>
            <w:tcW w:w="55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так/ні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vMerge/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не обґрунтовано</w:t>
            </w:r>
          </w:p>
        </w:tc>
        <w:tc>
          <w:tcPr>
            <w:tcW w:w="55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так/ні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IX.</w:t>
            </w:r>
          </w:p>
        </w:tc>
        <w:tc>
          <w:tcPr>
            <w:tcW w:w="15316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Експерт вважає, що фінансування наукової, науково-технічної роботи (обрати):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vMerge/>
            <w:vAlign w:val="center"/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7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обґрунтовано добре</w:t>
            </w:r>
          </w:p>
        </w:tc>
        <w:tc>
          <w:tcPr>
            <w:tcW w:w="55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так/ні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vMerge/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обґрунтовано задовільно</w:t>
            </w:r>
          </w:p>
        </w:tc>
        <w:tc>
          <w:tcPr>
            <w:tcW w:w="55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так/ні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vMerge/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викликає сумніви, занадто високе</w:t>
            </w:r>
          </w:p>
        </w:tc>
        <w:tc>
          <w:tcPr>
            <w:tcW w:w="55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так/ні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vMerge/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викликає сумніви, занадто низьке</w:t>
            </w:r>
          </w:p>
        </w:tc>
        <w:tc>
          <w:tcPr>
            <w:tcW w:w="55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так/ні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vMerge/>
            <w:vAlign w:val="center"/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обґрунтовано незадовільно або не обґрунтовано</w:t>
            </w:r>
          </w:p>
        </w:tc>
        <w:tc>
          <w:tcPr>
            <w:tcW w:w="55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так/ні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X.</w:t>
            </w:r>
          </w:p>
        </w:tc>
        <w:tc>
          <w:tcPr>
            <w:tcW w:w="15316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Експерт вважає, що колектив здатен виконати наукову, науково-технічну роботу на належному рівні (</w:t>
            </w:r>
            <w:r w:rsidRPr="00A90D27">
              <w:rPr>
                <w:rFonts w:ascii="Times New Roman" w:hAnsi="Times New Roman"/>
                <w:noProof/>
                <w:sz w:val="20"/>
                <w:lang w:val="ru-RU"/>
              </w:rPr>
              <w:t>зайве викреслити</w:t>
            </w:r>
            <w:r w:rsidRPr="005048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):</w:t>
            </w:r>
          </w:p>
        </w:tc>
      </w:tr>
      <w:tr w:rsidR="0042223E" w:rsidRPr="00397960" w:rsidTr="00397960">
        <w:trPr>
          <w:gridBefore w:val="1"/>
          <w:gridAfter w:val="1"/>
          <w:wBefore w:w="37" w:type="dxa"/>
          <w:wAfter w:w="95" w:type="dxa"/>
          <w:trHeight w:val="20"/>
        </w:trPr>
        <w:tc>
          <w:tcPr>
            <w:tcW w:w="85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397960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04878">
              <w:rPr>
                <w:noProof/>
                <w:lang w:val="ru-RU"/>
              </w:rPr>
              <w:br w:type="page"/>
            </w:r>
          </w:p>
        </w:tc>
        <w:tc>
          <w:tcPr>
            <w:tcW w:w="97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                            ні                             за відповідних умов</w:t>
            </w:r>
          </w:p>
        </w:tc>
        <w:tc>
          <w:tcPr>
            <w:tcW w:w="55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397960" w:rsidRPr="00504878" w:rsidRDefault="00397960" w:rsidP="0042223E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397960" w:rsidRPr="00504878" w:rsidRDefault="00397960">
      <w:pPr>
        <w:spacing w:after="160" w:line="259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504878">
        <w:rPr>
          <w:rFonts w:ascii="Times New Roman" w:hAnsi="Times New Roman"/>
          <w:noProof/>
          <w:sz w:val="28"/>
          <w:szCs w:val="28"/>
          <w:lang w:val="ru-RU"/>
        </w:rPr>
        <w:br w:type="page"/>
      </w:r>
    </w:p>
    <w:p w:rsidR="0042223E" w:rsidRPr="00504878" w:rsidRDefault="0042223E" w:rsidP="0042223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04878">
        <w:rPr>
          <w:rFonts w:ascii="Times New Roman" w:hAnsi="Times New Roman"/>
          <w:noProof/>
          <w:sz w:val="24"/>
          <w:szCs w:val="24"/>
          <w:lang w:val="ru-RU"/>
        </w:rPr>
        <w:lastRenderedPageBreak/>
        <w:t>Коментар експерта (коментар експерта обов’язковий; висновок без коментаря є недійсним):</w:t>
      </w:r>
    </w:p>
    <w:p w:rsidR="0042223E" w:rsidRPr="00397960" w:rsidRDefault="0042223E" w:rsidP="0042223E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397960">
        <w:rPr>
          <w:rFonts w:ascii="Times New Roman" w:hAnsi="Times New Roman"/>
          <w:noProof/>
          <w:sz w:val="28"/>
          <w:szCs w:val="28"/>
          <w:lang w:val="en-US"/>
        </w:rPr>
        <w:t>________________________________________________________________________________________________________</w:t>
      </w:r>
    </w:p>
    <w:p w:rsidR="0042223E" w:rsidRPr="00397960" w:rsidRDefault="0042223E" w:rsidP="0042223E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397960">
        <w:rPr>
          <w:rFonts w:ascii="Times New Roman" w:hAnsi="Times New Roman"/>
          <w:noProof/>
          <w:sz w:val="28"/>
          <w:szCs w:val="28"/>
          <w:lang w:val="en-US"/>
        </w:rPr>
        <w:t>________________________________________________________________________________________________________</w:t>
      </w:r>
    </w:p>
    <w:p w:rsidR="0042223E" w:rsidRPr="00397960" w:rsidRDefault="0042223E" w:rsidP="0042223E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397960">
        <w:rPr>
          <w:rFonts w:ascii="Times New Roman" w:hAnsi="Times New Roman"/>
          <w:noProof/>
          <w:sz w:val="28"/>
          <w:szCs w:val="28"/>
          <w:lang w:val="en-US"/>
        </w:rPr>
        <w:t>________________________________________________________________________________________________________</w:t>
      </w:r>
    </w:p>
    <w:p w:rsidR="0042223E" w:rsidRPr="00397960" w:rsidRDefault="0042223E" w:rsidP="0042223E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397960">
        <w:rPr>
          <w:rFonts w:ascii="Times New Roman" w:hAnsi="Times New Roman"/>
          <w:noProof/>
          <w:sz w:val="28"/>
          <w:szCs w:val="28"/>
          <w:lang w:val="en-US"/>
        </w:rPr>
        <w:t>________________________________________________________________________________________________________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564"/>
        <w:gridCol w:w="5741"/>
        <w:gridCol w:w="3482"/>
      </w:tblGrid>
      <w:tr w:rsidR="0042223E" w:rsidRPr="00397960" w:rsidTr="00B406A3">
        <w:trPr>
          <w:trHeight w:val="920"/>
        </w:trPr>
        <w:tc>
          <w:tcPr>
            <w:tcW w:w="44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Експерт</w:t>
            </w:r>
          </w:p>
        </w:tc>
        <w:tc>
          <w:tcPr>
            <w:tcW w:w="150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397960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</w:t>
            </w:r>
            <w:r w:rsidR="00397960" w:rsidRPr="00397960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br/>
            </w: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 xml:space="preserve">(підпис) </w:t>
            </w:r>
          </w:p>
        </w:tc>
        <w:tc>
          <w:tcPr>
            <w:tcW w:w="189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504878" w:rsidRDefault="0042223E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</w:t>
            </w:r>
          </w:p>
          <w:p w:rsidR="0042223E" w:rsidRPr="00504878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04878">
              <w:rPr>
                <w:rFonts w:ascii="Times New Roman" w:hAnsi="Times New Roman"/>
                <w:noProof/>
                <w:sz w:val="20"/>
                <w:lang w:val="ru-RU"/>
              </w:rPr>
              <w:t>(прізвище, ім’я та по батькові)</w:t>
            </w:r>
          </w:p>
        </w:tc>
        <w:tc>
          <w:tcPr>
            <w:tcW w:w="11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23E" w:rsidRPr="00397960" w:rsidRDefault="0042223E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</w:t>
            </w:r>
          </w:p>
          <w:p w:rsidR="0042223E" w:rsidRPr="00397960" w:rsidRDefault="0042223E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97960">
              <w:rPr>
                <w:rFonts w:ascii="Times New Roman" w:hAnsi="Times New Roman"/>
                <w:noProof/>
                <w:sz w:val="20"/>
                <w:lang w:val="en-US"/>
              </w:rPr>
              <w:t>(дата)</w:t>
            </w:r>
          </w:p>
        </w:tc>
      </w:tr>
    </w:tbl>
    <w:p w:rsidR="004F56EF" w:rsidRPr="00504878" w:rsidRDefault="00397960" w:rsidP="00504878">
      <w:pPr>
        <w:pStyle w:val="a3"/>
        <w:ind w:firstLine="0"/>
        <w:jc w:val="both"/>
        <w:rPr>
          <w:noProof/>
          <w:lang w:val="ru-RU"/>
        </w:rPr>
      </w:pPr>
      <w:r w:rsidRPr="00397960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Pr="00504878">
        <w:rPr>
          <w:rFonts w:ascii="Times New Roman" w:hAnsi="Times New Roman"/>
          <w:noProof/>
          <w:sz w:val="20"/>
          <w:lang w:val="ru-RU"/>
        </w:rPr>
        <w:t>_________</w:t>
      </w:r>
      <w:r w:rsidRPr="00504878">
        <w:rPr>
          <w:rFonts w:ascii="Times New Roman" w:hAnsi="Times New Roman"/>
          <w:noProof/>
          <w:sz w:val="20"/>
          <w:lang w:val="ru-RU"/>
        </w:rPr>
        <w:br/>
      </w:r>
      <w:r w:rsidR="0042223E" w:rsidRPr="00504878">
        <w:rPr>
          <w:rFonts w:ascii="Times New Roman" w:hAnsi="Times New Roman"/>
          <w:noProof/>
          <w:sz w:val="20"/>
          <w:lang w:val="ru-RU"/>
        </w:rPr>
        <w:t>* Значення вносяться до відповідних граф, використовуючи такі умовні позначення: нуль (0) - значення відсутнє; символ (х) - заповнення показника недоцільне.</w:t>
      </w:r>
    </w:p>
    <w:sectPr w:rsidR="004F56EF" w:rsidRPr="00504878" w:rsidSect="0042223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3E"/>
    <w:rsid w:val="00153FCC"/>
    <w:rsid w:val="00397960"/>
    <w:rsid w:val="0042223E"/>
    <w:rsid w:val="004E0A82"/>
    <w:rsid w:val="004F56EF"/>
    <w:rsid w:val="00504878"/>
    <w:rsid w:val="008E61D3"/>
    <w:rsid w:val="00A90D27"/>
    <w:rsid w:val="00B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DDA9"/>
  <w15:chartTrackingRefBased/>
  <w15:docId w15:val="{C20070A2-D0FE-4E6E-9B88-538E44A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3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223E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23E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42223E"/>
    <w:pPr>
      <w:spacing w:before="120"/>
      <w:ind w:firstLine="567"/>
    </w:pPr>
  </w:style>
  <w:style w:type="paragraph" w:customStyle="1" w:styleId="a4">
    <w:name w:val="Шапка документу"/>
    <w:basedOn w:val="a"/>
    <w:rsid w:val="0042223E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link w:val="a6"/>
    <w:rsid w:val="0042223E"/>
    <w:pPr>
      <w:keepNext/>
      <w:keepLines/>
      <w:spacing w:before="240" w:after="240"/>
      <w:jc w:val="center"/>
    </w:pPr>
    <w:rPr>
      <w:b/>
    </w:rPr>
  </w:style>
  <w:style w:type="character" w:customStyle="1" w:styleId="a6">
    <w:name w:val="Назва документа Знак"/>
    <w:link w:val="a5"/>
    <w:locked/>
    <w:rsid w:val="0042223E"/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5EF7-766E-4AA1-A4C0-BBD4819E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4789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Дей</dc:creator>
  <cp:keywords/>
  <dc:description/>
  <cp:lastModifiedBy>Марина Дей</cp:lastModifiedBy>
  <cp:revision>5</cp:revision>
  <dcterms:created xsi:type="dcterms:W3CDTF">2022-11-25T17:05:00Z</dcterms:created>
  <dcterms:modified xsi:type="dcterms:W3CDTF">2022-12-05T16:42:00Z</dcterms:modified>
</cp:coreProperties>
</file>